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567701A">
      <w:pPr>
        <w:pStyle w:val="style0"/>
        <w:widowControl w:val="false"/>
        <w:pBdr>
          <w:left w:val="nil"/>
          <w:right w:val="nil"/>
          <w:top w:val="nil"/>
          <w:bottom w:val="nil"/>
          <w:between w:val="nil"/>
        </w:pBdr>
        <w:spacing w:after="0"/>
        <w:ind w:left="0" w:hanging="2"/>
        <w:rPr>
          <w:rFonts w:ascii="Arial" w:cs="Arial" w:eastAsia="Arial" w:hAnsi="Arial"/>
          <w:color w:val="000000"/>
          <w:lang w:val="en-US"/>
        </w:rPr>
      </w:pPr>
    </w:p>
    <w:tbl>
      <w:tblPr>
        <w:tblStyle w:val="style4100"/>
        <w:tblW w:w="1077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299"/>
        <w:gridCol w:w="7474"/>
      </w:tblGrid>
      <w:tr w14:paraId="55778B10">
        <w:trPr>
          <w:trHeight w:val="603" w:hRule="atLeast"/>
        </w:trPr>
        <w:tc>
          <w:tcPr>
            <w:tcW w:w="3299" w:type="dxa"/>
            <w:tcBorders/>
          </w:tcPr>
          <w:p w14:paraId="5C4477AD"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spacing w:after="0"/>
              <w:ind w:left="0" w:hanging="2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L="0" distT="0" distB="0" distR="0">
                  <wp:extent cx="1952625" cy="942975"/>
                  <wp:effectExtent l="0" t="0" r="0" b="0"/>
                  <wp:docPr id="1026" name="image5.png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952625" cy="942975"/>
                          </a:xfrm>
                          <a:prstGeom prst="rect"/>
                          <a:ln cmpd="sng" cap="flat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4" w:type="dxa"/>
            <w:tcBorders/>
          </w:tcPr>
          <w:p w14:paraId="49B006B5"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spacing w:after="0"/>
              <w:ind w:left="0" w:hanging="2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</w:p>
          <w:p w14:paraId="00FE25F3"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spacing w:after="0"/>
              <w:ind w:left="2369" w:leftChars="1076" w:hanging="2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000000"/>
                <w:sz w:val="20"/>
                <w:szCs w:val="20"/>
              </w:rPr>
              <w:t>ООО «Карта Твоих Впечатлений» ИНН 5022079035</w:t>
            </w:r>
          </w:p>
          <w:p w14:paraId="310286BD"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spacing w:after="0"/>
              <w:ind w:left="2369" w:leftChars="1076" w:hanging="2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000000"/>
                <w:sz w:val="20"/>
                <w:szCs w:val="20"/>
              </w:rPr>
              <w:t>ЕФРТ В031-00161-77/01537571 от 20.11.2024</w:t>
            </w:r>
          </w:p>
          <w:p w14:paraId="48F7C1A0"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spacing w:after="0"/>
              <w:ind w:left="2369" w:leftChars="1076" w:hanging="2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000000"/>
                <w:sz w:val="20"/>
                <w:szCs w:val="20"/>
              </w:rPr>
              <w:t>М. О. г. Коломна ул. Малышева д.17 офис 30</w:t>
            </w:r>
          </w:p>
          <w:p w14:paraId="63CBE89C"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spacing w:after="0"/>
              <w:ind w:left="2369" w:leftChars="1076" w:hanging="2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эл. почта: </w:t>
            </w:r>
            <w:r>
              <w:rPr/>
              <w:fldChar w:fldCharType="begin"/>
            </w:r>
            <w:r>
              <w:instrText xml:space="preserve"> HYPERLINK "mailto:ktv2024@list.ru" </w:instrText>
            </w:r>
            <w:r>
              <w:rPr/>
              <w:fldChar w:fldCharType="separate"/>
            </w:r>
            <w:r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u w:val="single"/>
              </w:rPr>
              <w:t>ktv2024@list.ru</w:t>
            </w:r>
            <w:r>
              <w:rPr/>
              <w:fldChar w:fldCharType="end"/>
            </w:r>
          </w:p>
          <w:p w14:paraId="20A783C9"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spacing w:after="0"/>
              <w:ind w:left="2369" w:leftChars="1076" w:hanging="2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>телефоны для связи: +7-915-454-78-52; +7-915-142-74-22</w:t>
            </w:r>
          </w:p>
        </w:tc>
      </w:tr>
    </w:tbl>
    <w:p w14:paraId="661EC4DE"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left" w:leader="none" w:pos="5760"/>
        </w:tabs>
        <w:spacing w:after="0" w:lineRule="auto" w:line="240"/>
        <w:ind w:left="0" w:hanging="2"/>
        <w:rPr>
          <w:rFonts w:ascii="Times New Roman" w:cs="Times New Roman" w:eastAsia="Times New Roman" w:hAnsi="Times New Roman"/>
          <w:color w:val="000000"/>
          <w:sz w:val="24"/>
          <w:szCs w:val="24"/>
        </w:rPr>
      </w:pPr>
    </w:p>
    <w:p w14:paraId="4573739B"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left" w:leader="none" w:pos="5760"/>
        </w:tabs>
        <w:spacing w:after="0" w:lineRule="auto" w:line="240"/>
        <w:ind w:left="0" w:hanging="2"/>
        <w:rPr>
          <w:rFonts w:ascii="Times New Roman" w:cs="Times New Roman" w:eastAsia="Times New Roman" w:hAnsi="Times New Roman"/>
          <w:color w:val="000000"/>
          <w:sz w:val="21"/>
          <w:szCs w:val="21"/>
        </w:rPr>
      </w:pPr>
    </w:p>
    <w:p w14:paraId="7926DDEB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1" w:hanging="3"/>
        <w:jc w:val="center"/>
        <w:rPr>
          <w:rFonts w:ascii="Times New Roman" w:cs="Times New Roman" w:eastAsia="Times New Roman" w:hAnsi="Times New Roman"/>
          <w:color w:val="ff0000"/>
          <w:sz w:val="28"/>
          <w:szCs w:val="28"/>
        </w:rPr>
      </w:pPr>
    </w:p>
    <w:p w14:paraId="631C6DB1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1" w:hanging="3"/>
        <w:jc w:val="center"/>
        <w:rPr>
          <w:rFonts w:ascii="Times New Roman" w:cs="Times New Roman" w:eastAsia="Times New Roman" w:hAnsi="Times New Roman"/>
          <w:b/>
          <w:color w:val="000000"/>
          <w:sz w:val="28"/>
          <w:szCs w:val="28"/>
          <w:highlight w:val="yellow"/>
        </w:rPr>
      </w:pPr>
      <w:r>
        <w:rPr>
          <w:rFonts w:ascii="Times New Roman" w:cs="Times New Roman" w:eastAsia="Times New Roman" w:hAnsi="Times New Roman"/>
          <w:b/>
          <w:color w:val="000000"/>
          <w:sz w:val="28"/>
          <w:szCs w:val="28"/>
          <w:highlight w:val="yellow"/>
        </w:rPr>
        <w:t>«</w:t>
      </w:r>
      <w:r>
        <w:rPr>
          <w:rFonts w:ascii="Times New Roman" w:cs="Times New Roman" w:eastAsia="Times New Roman" w:hAnsi="Times New Roman"/>
          <w:b/>
          <w:sz w:val="28"/>
          <w:szCs w:val="28"/>
          <w:highlight w:val="yellow"/>
        </w:rPr>
        <w:t>Классический Узбекистан</w:t>
      </w:r>
      <w:r>
        <w:rPr>
          <w:rFonts w:ascii="Times New Roman" w:cs="Times New Roman" w:eastAsia="Times New Roman" w:hAnsi="Times New Roman"/>
          <w:b/>
          <w:color w:val="000000"/>
          <w:sz w:val="28"/>
          <w:szCs w:val="28"/>
          <w:highlight w:val="yellow"/>
        </w:rPr>
        <w:t>»</w:t>
      </w:r>
    </w:p>
    <w:p w14:paraId="54A8F9BD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1" w:hanging="3"/>
        <w:jc w:val="center"/>
        <w:rPr>
          <w:rFonts w:ascii="Times New Roman" w:cs="Times New Roman" w:eastAsia="Times New Roman" w:hAnsi="Times New Roman"/>
          <w:b/>
          <w:sz w:val="28"/>
          <w:szCs w:val="28"/>
          <w:highlight w:val="yellow"/>
        </w:rPr>
      </w:pPr>
    </w:p>
    <w:p w14:paraId="7181AAB6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1" w:hanging="3"/>
        <w:jc w:val="center"/>
        <w:rPr>
          <w:rFonts w:ascii="Times New Roman" w:cs="Times New Roman" w:eastAsia="Times New Roman" w:hAnsi="Times New Roman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b/>
          <w:sz w:val="28"/>
          <w:szCs w:val="28"/>
        </w:rPr>
        <w:t>Приглашаем вас в пятидневный тур, где вы откроете для себя величие двух древних городов, их потрясающую архитектуру и уникальную историю.</w:t>
      </w:r>
    </w:p>
    <w:p w14:paraId="167F0D45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</w:pPr>
    </w:p>
    <w:p w14:paraId="232CBB01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</w:pPr>
    </w:p>
    <w:p w14:paraId="060ECBEA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  <w:highlight w:val="yellow"/>
        </w:rPr>
        <w:t xml:space="preserve">1 ДЕНЬ </w:t>
      </w:r>
    </w:p>
    <w:p w14:paraId="00B18C7B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3666EE33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07:00 Прибытие в Самарканд.</w:t>
      </w:r>
    </w:p>
    <w:p w14:paraId="25CCF81E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435750D1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Встреча  водителя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 в аэропорту Самарканда.</w:t>
      </w:r>
    </w:p>
    <w:p w14:paraId="07C44B6E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108E64D9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noProof/>
          <w:color w:val="292929"/>
          <w:sz w:val="24"/>
          <w:szCs w:val="24"/>
        </w:rPr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margin">
              <wp:posOffset>4153535</wp:posOffset>
            </wp:positionH>
            <wp:positionV relativeFrom="margin">
              <wp:posOffset>4127500</wp:posOffset>
            </wp:positionV>
            <wp:extent cx="2843530" cy="1863725"/>
            <wp:effectExtent l="0" t="0" r="0" b="3175"/>
            <wp:wrapSquare wrapText="bothSides"/>
            <wp:docPr id="1027" name="Рисунок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43530" cy="186372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09:00 Завтрак в местном кафе.</w:t>
      </w:r>
    </w:p>
    <w:p w14:paraId="4F1488C8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Экскурсия по Самарканду. Во время экскурсии вы увидитеˆ</w:t>
      </w:r>
    </w:p>
    <w:p w14:paraId="41BFA0EA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jc w:val="center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57A880AD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Мавзолей Гур-Эмира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это потрясающий пример средневекового архитектурного мастерства, восхищающий своими гармоничными пропорциями. Его ребристый купол и стены украшены светло- и темно-синей глазурованной плиткой, позолотой и замысловатыми росписями, а рельефные розетки на куполе напоминают звездное небо. Интерьер отличается изящными оконными решетками, мраморными и ониксовыми панелями, украшенными росписями, резьбой и инкрустацией полудрагоценными камнями.</w:t>
      </w:r>
    </w:p>
    <w:p w14:paraId="0F64C9D6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Площадь Регистан в самом сердце древнего Самарканда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это потрясающая архитектурная жемчужина, окруженная с трех сторон величественными медресе с уникальным убранством. В 2001 году она была включена в список Всемирного наследия ЮНЕСКО за свой выдающийся вклад в восточную 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>архитектуру.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>.</w:t>
      </w:r>
    </w:p>
    <w:p w14:paraId="289FD8E8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1750FEAC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>Обед в местном кафе города Самарканд</w:t>
      </w:r>
    </w:p>
    <w:p w14:paraId="4C376D53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>Трансфер в отель, заселение</w:t>
      </w:r>
    </w:p>
    <w:p w14:paraId="4B49D2BD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leftChars="0" w:firstLine="0" w:firstLineChars="0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6023B844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noProof/>
          <w:color w:val="292929"/>
          <w:sz w:val="24"/>
          <w:szCs w:val="24"/>
        </w:rPr>
        <w:drawing>
          <wp:anchor distT="0" distB="0" distL="114300" distR="114300" simplePos="false" relativeHeight="5" behindDoc="false" locked="false" layoutInCell="true" allowOverlap="true">
            <wp:simplePos x="0" y="0"/>
            <wp:positionH relativeFrom="margin">
              <wp:posOffset>4206240</wp:posOffset>
            </wp:positionH>
            <wp:positionV relativeFrom="margin">
              <wp:posOffset>7707630</wp:posOffset>
            </wp:positionV>
            <wp:extent cx="2834639" cy="1755775"/>
            <wp:effectExtent l="0" t="0" r="3810" b="0"/>
            <wp:wrapSquare wrapText="bothSides"/>
            <wp:docPr id="1028" name="Рисунок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34639" cy="17557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Мечеть 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Биби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-Ханым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с ее величественными голубыми куполами — это впечатляющее архитектурное чудо, известное своими огромными размерами и красотой. Согласно легенде, Тимур построил мечеть в честь своей любимой жены 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>Биби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>-Ханым, намереваясь сделать её самой большой мечетью на Востоке, превосходящей все остальные по величию и увековечивающей их имена.</w:t>
      </w:r>
    </w:p>
    <w:p w14:paraId="5560F56C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Комплекс Шахи-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Зинда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представляет собой потрясающий комплекс мавзолеев, украшенных замысловатой голубой плиткой, создающей мерцающую и гармоничную композицию. Мавзолеи, построенные между XIV и XV веками, плотно расположены вдоль узкой средневековой улицы; всего здесь находится одиннадцать гробниц, каждая из которых вносит свой вклад в историческое и архитектурное богатство этого места.</w:t>
      </w:r>
    </w:p>
    <w:p w14:paraId="4FB08902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Сиабский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 базар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это оживленный рынок, где местные фермеры продают широкий ассортимент свежих фруктов, овощей, дынь и домашней продукции, а также редкие специи и изделия ручной работы. 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>Известный своим уникальным выбором из более чем 17 видов хлеба, рынок предлагает посетителям возможность ощутить оживленную атмосферу Самарканда, где местные жители собираются, чтобы обменяться новостями и узнать о повседневной жизни города.</w:t>
      </w:r>
    </w:p>
    <w:p w14:paraId="4284F7A1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18:00 (18:30) Окончание программы. Возвращение в отель. Свободное время</w:t>
      </w:r>
    </w:p>
    <w:p w14:paraId="021CB688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2293271F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02508E16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  <w:highlight w:val="yellow"/>
        </w:rPr>
        <w:t xml:space="preserve">2 ДЕНЬ </w:t>
      </w:r>
    </w:p>
    <w:p w14:paraId="6767807C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08B9127C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08:00 Завтрак в гостинице</w:t>
      </w:r>
    </w:p>
    <w:p w14:paraId="3F06C5B6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Продолжение экскурсии по городу</w:t>
      </w:r>
    </w:p>
    <w:p w14:paraId="01DBA678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Cs/>
          <w:noProof/>
          <w:color w:val="292929"/>
          <w:sz w:val="24"/>
          <w:szCs w:val="24"/>
        </w:rPr>
        <w:drawing>
          <wp:anchor distT="0" distB="0" distL="114300" distR="114300" simplePos="false" relativeHeight="4" behindDoc="false" locked="false" layoutInCell="true" allowOverlap="true">
            <wp:simplePos x="0" y="0"/>
            <wp:positionH relativeFrom="margin">
              <wp:posOffset>4263390</wp:posOffset>
            </wp:positionH>
            <wp:positionV relativeFrom="margin">
              <wp:posOffset>1792604</wp:posOffset>
            </wp:positionV>
            <wp:extent cx="2737485" cy="1424940"/>
            <wp:effectExtent l="0" t="0" r="5715" b="3810"/>
            <wp:wrapSquare wrapText="bothSides"/>
            <wp:docPr id="1029" name="Рисунок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/>
                    <pic:cNvPicPr/>
                  </pic:nvPicPr>
                  <pic:blipFill>
                    <a:blip r:embed="rId5" cstate="print"/>
                    <a:srcRect l="0" t="11792" r="0" b="0"/>
                    <a:stretch/>
                  </pic:blipFill>
                  <pic:spPr>
                    <a:xfrm rot="0">
                      <a:off x="0" y="0"/>
                      <a:ext cx="2737485" cy="142494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Мавзолей Ходжа Данияр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, гробница библейского пророка Даниила. Разберёмся, почему Тамерлан решил отправить часть останков святого в Самарканд. </w:t>
      </w:r>
    </w:p>
    <w:p w14:paraId="628E0AC8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09EDE8F5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jc w:val="both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Обсерватория Улугбека,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построенная во время правления Улугбека, стала одним из важнейших центров научных исследований в исламском мире. Основанная образованным правителем, среди учителей которого были известный поэт и философ шейх Ариф 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>Азари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и выдающийся астроном и математик 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>Казизаде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Руми, обсерватория сыграла ключевую роль в развитии астрономии.</w:t>
      </w:r>
    </w:p>
    <w:p w14:paraId="649AFC22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jc w:val="both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noProof/>
          <w:color w:val="292929"/>
          <w:sz w:val="24"/>
          <w:szCs w:val="24"/>
        </w:rPr>
        <w:drawing>
          <wp:anchor distT="0" distB="0" distL="114300" distR="114300" simplePos="false" relativeHeight="3" behindDoc="false" locked="false" layoutInCell="true" allowOverlap="true">
            <wp:simplePos x="0" y="0"/>
            <wp:positionH relativeFrom="margin">
              <wp:posOffset>4248785</wp:posOffset>
            </wp:positionH>
            <wp:positionV relativeFrom="margin">
              <wp:posOffset>3768090</wp:posOffset>
            </wp:positionV>
            <wp:extent cx="2828290" cy="1590675"/>
            <wp:effectExtent l="0" t="0" r="0" b="9525"/>
            <wp:wrapSquare wrapText="bothSides"/>
            <wp:docPr id="1030" name="Рисунок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28290" cy="1590675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Бумажная фабрика «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Конигиль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Мерос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»,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расположенная в селе 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>Конигиль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под Самаркандом, была основана известными братьями Мухтаровыми, которые возродили древнюю традицию изготовления бумаги, используя традиционные самаркандские методы. Фабрика, основанная в 1996 году при поддержке инициатив ЮНЕСКО по развитию ремесел и туризма, работает исключительно вручную, что позволяет посетителям наблюдать за процессом изготовления бумаги воочию. Помимо производства бумаги, на фабрике также работают мастера-скульпторы, ювелиры и керамисты, а технология производства бумаги из коры тутового дерева была заново открыта после пяти лет исследований.</w:t>
      </w:r>
    </w:p>
    <w:p w14:paraId="06DDEDBF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</w:pPr>
    </w:p>
    <w:p w14:paraId="18C8E2D7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 xml:space="preserve">Обед в местном кафе города </w:t>
      </w:r>
    </w:p>
    <w:p w14:paraId="6DB3117E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3369B48E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Мечеть 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Хазрати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Хызр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 — одна из старейших святынь Самарканда, расположенная рядом с комплексом Шахи-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Зинда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. Она посвящена святому 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Хызру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 — покровителю путешественников. Мечеть отличается красивой архитектурой и является важным духовным местом с панорамным видом на город.</w:t>
      </w:r>
    </w:p>
    <w:p w14:paraId="79406F9E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3806FDE7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 18:00 (18:30) Окончание программы. Возвращение в отель. Свободное время</w:t>
      </w:r>
    </w:p>
    <w:p w14:paraId="7F476A58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71C7B398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  <w:highlight w:val="yellow"/>
        </w:rPr>
        <w:t>3 ДЕНЬ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 </w:t>
      </w:r>
    </w:p>
    <w:p w14:paraId="1541B15A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143D892A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07:00 Завтрак в гостинице</w:t>
      </w:r>
    </w:p>
    <w:p w14:paraId="17C3BDF8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Трансфер на ж/д вокзал и отправление в Бухару</w:t>
      </w:r>
    </w:p>
    <w:p w14:paraId="4B5B7EED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Прибытие 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в 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 Бухару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 </w:t>
      </w:r>
    </w:p>
    <w:p w14:paraId="63EACEA8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Обед в местном кафе</w:t>
      </w:r>
    </w:p>
    <w:p w14:paraId="4206F7C5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color w:val="292929"/>
          <w:sz w:val="24"/>
          <w:szCs w:val="24"/>
        </w:rPr>
      </w:pPr>
    </w:p>
    <w:p w14:paraId="205C1A42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>Экскурсия по Бухаре:</w:t>
      </w:r>
    </w:p>
    <w:p w14:paraId="086819B7"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0" w:hanging="2"/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</w:pPr>
    </w:p>
    <w:p w14:paraId="6F3AA2DC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Лаби-Хауз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живописное и историческое общественное пространство, центром которого является тихий пруд, традиционно являющийся центром общественной жизни и праздников. Вдоль этой территории расположены чайные домики, рестораны и ремесленные лавки, где местные жители и туристы собираются, чтобы насладиться оживленной атмосферой, музыкой и искусством. В тенистом парке стоит статуя Ходжи Насреддина, любимого народного героя Центральной Азии, добавляющая очарования этой культурной достопримечательности:</w:t>
      </w:r>
    </w:p>
    <w:p w14:paraId="3786BE6B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Cs/>
          <w:noProof/>
          <w:color w:val="292929"/>
          <w:sz w:val="24"/>
          <w:szCs w:val="24"/>
        </w:rPr>
        <w:drawing>
          <wp:anchor distT="0" distB="0" distL="114300" distR="114300" simplePos="false" relativeHeight="6" behindDoc="false" locked="false" layoutInCell="true" allowOverlap="true">
            <wp:simplePos x="0" y="0"/>
            <wp:positionH relativeFrom="margin">
              <wp:posOffset>4149090</wp:posOffset>
            </wp:positionH>
            <wp:positionV relativeFrom="margin">
              <wp:posOffset>117475</wp:posOffset>
            </wp:positionV>
            <wp:extent cx="2773680" cy="1682750"/>
            <wp:effectExtent l="0" t="0" r="7620" b="0"/>
            <wp:wrapSquare wrapText="bothSides"/>
            <wp:docPr id="1031" name="Рисунок 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6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73680" cy="16827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Хонако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Нодир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 Диван Беги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это здание, где в прошлом останавливались дервиши и странствующие суфии. Оно служило местом для духовных практик, молитв и отдыха.</w:t>
      </w:r>
    </w:p>
    <w:p w14:paraId="4743E94F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Медресе 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Нодир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 Диван Беги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историческое учебное заведение XVII века, известное своим необычным декором с изображениями мифических птиц. Сегодня здесь проходят культурные мероприятия и выступления.</w:t>
      </w:r>
    </w:p>
    <w:p w14:paraId="135A5EC2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Медресе 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Кукельдаш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 —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одно из крупнейших медресе Бухары, построенное в XVI веке. Оно служило центром исламского образования и до сих пор сохраняет свой величественный исторический облик.</w:t>
      </w:r>
    </w:p>
    <w:p w14:paraId="0CF1F0E7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Караван-сарай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это традиционное здание, где в древности останавливались торговцы и путешественники Великого шелкового пути. Здесь можно представить атмосферу торговли и отдыха караванов.</w:t>
      </w:r>
    </w:p>
    <w:p w14:paraId="38B378C7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Торговые купола Бухары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это крытые базары XVI века, под которыми располагались ремесленные ряды. Сегодня здесь можно приобрести сувениры, изделия ручной работы и окунуться в атмосферу восточного рынка.</w:t>
      </w:r>
    </w:p>
    <w:p w14:paraId="582D403C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Мечеть 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Магоки-Аттори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 в Бухаре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один из самых загадочных памятников города, история которого восходит к 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>доарабским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временам, когда она была рынком идолов, специй и лекарств. Название мечети, означающее «яма», отражает её заглублённое расположение, скрытое под слоями культурных отложений, накопившихся за столетия. Её архитектурные порталы — шедевры замысловатого декора, украшенные алебастровой резьбой, полированной кирпичной кладкой, глазурованной плиткой и резной терракотой, воплощающие богатое наследие древнего города.</w:t>
      </w:r>
    </w:p>
    <w:p w14:paraId="5B0624BF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Cs/>
          <w:noProof/>
          <w:color w:val="292929"/>
          <w:sz w:val="24"/>
          <w:szCs w:val="24"/>
        </w:rPr>
        <w:drawing>
          <wp:anchor distT="0" distB="0" distL="114300" distR="114300" simplePos="false" relativeHeight="7" behindDoc="false" locked="false" layoutInCell="true" allowOverlap="true">
            <wp:simplePos x="0" y="0"/>
            <wp:positionH relativeFrom="margin">
              <wp:posOffset>4307840</wp:posOffset>
            </wp:positionH>
            <wp:positionV relativeFrom="margin">
              <wp:posOffset>5648325</wp:posOffset>
            </wp:positionV>
            <wp:extent cx="2670175" cy="1682750"/>
            <wp:effectExtent l="0" t="0" r="0" b="0"/>
            <wp:wrapSquare wrapText="bothSides"/>
            <wp:docPr id="1032" name="Рисунок 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8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70175" cy="16827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Медресе Улугбека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одно из старейших учебных заведений Бухары, построенное в XV веке. Оно было важным центром науки и образования, основанным знаменитым правителем и учёным Улугбеком. Медресе 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>Абдуллазизхана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яркий архитектурный памятник XVII века, известный богатым декором, изразцами и изящными узорами. Считается одним из самых красивых медресе Бухары. Тим 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>Абдуллахана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крытый базар XVI века, где в прошлом торговали дорогими шелковыми тканями. Сегодня здесь можно увидеть традиционные ремесленные изделия и почувствовать атмосферу старинного рынка.</w:t>
      </w:r>
    </w:p>
    <w:p w14:paraId="15BCA342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Пойи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Калон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главный архитектурный ансамбль Бухары, включающий знаменитый минарет 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>Калян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>, мечеть и медресе. Это символ города и одна из самых узнаваемых исторических достопримечательностей.</w:t>
      </w:r>
    </w:p>
    <w:p w14:paraId="0D0D5300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 xml:space="preserve">Крепость </w:t>
      </w:r>
      <w:r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  <w:t>Арк</w:t>
      </w:r>
      <w:r>
        <w:rPr>
          <w:rFonts w:ascii="Times New Roman" w:cs="Times New Roman" w:eastAsia="Times New Roman" w:hAnsi="Times New Roman"/>
          <w:bCs/>
          <w:color w:val="292929"/>
          <w:sz w:val="24"/>
          <w:szCs w:val="24"/>
        </w:rPr>
        <w:t xml:space="preserve"> — древняя цитадель Бухары, служившая резиденцией правителей на протяжении веков. Это символ власти и истории города, который впечатляет своими масштабами и величием (осмотр снаружи).</w:t>
      </w:r>
    </w:p>
    <w:p w14:paraId="570DA955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</w:pPr>
    </w:p>
    <w:p w14:paraId="4B0FCCA6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  <w:highlight w:val="yellow"/>
        </w:rPr>
        <w:t xml:space="preserve">4 ДЕНЬ </w:t>
      </w:r>
    </w:p>
    <w:p w14:paraId="5D281CE6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>Завтрак в отеле</w:t>
      </w:r>
    </w:p>
    <w:p w14:paraId="66E97D04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 xml:space="preserve">Комплекс </w:t>
      </w: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>Боло-Хауз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, расположенный напротив крепости Ковчег, является единственным сохранившимся памятником на площади Регистан. Комплекс включает в себя пруд, Пятничную мечеть и минарет, причем самой старой частью является пруд 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Боло-Хауз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, который снабжал водой жителей города до советской власти. Мечеть 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Боло-Хауз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, построенная в 1712 году, была заказана женой правителя Бухары, хотя другая версия предполагает, что она была построена эмиром Шахмурадом для общественных молитв, отражая его желание быть ближе к своему народу.</w:t>
      </w:r>
    </w:p>
    <w:p w14:paraId="266DFE03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>Мавзолей Саманидов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, построенный в IX-X веках, является семейной гробницей и одной из самых знаковых архитектурных достопримечательностей города. Его кубическая структура, увенчанная полусферическим куполом, символизирует единство Земли и небес, воплощая древнее верование в гармонию Вселенной.</w:t>
      </w:r>
    </w:p>
    <w:p w14:paraId="64B680B8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noProof/>
          <w:color w:val="292929"/>
          <w:sz w:val="24"/>
          <w:szCs w:val="24"/>
        </w:rPr>
        <w:drawing>
          <wp:anchor distT="0" distB="0" distL="114300" distR="114300" simplePos="false" relativeHeight="8" behindDoc="false" locked="false" layoutInCell="true" allowOverlap="true">
            <wp:simplePos x="0" y="0"/>
            <wp:positionH relativeFrom="margin">
              <wp:posOffset>4426585</wp:posOffset>
            </wp:positionH>
            <wp:positionV relativeFrom="margin">
              <wp:posOffset>15240</wp:posOffset>
            </wp:positionV>
            <wp:extent cx="2554604" cy="1857375"/>
            <wp:effectExtent l="0" t="0" r="0" b="9525"/>
            <wp:wrapSquare wrapText="bothSides"/>
            <wp:docPr id="1033" name="Рисунок 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9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554604" cy="1857375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 xml:space="preserve">Колодец </w:t>
      </w: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>Чашма</w:t>
      </w: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>-Аюб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, известный как «Источник святого Иова», окружен легендой о том, как библейский пророк Иов ударил посохом по земле, в результате чего появился кристально чистый источник, предлагавший воду страдающим в пустыне. Над колодцем возведен мавзолей в форме вытянутой призмы, увенчанный куполами различной формы, включая уникальный двойной купол с конической «крышкой», которая покрывает главную камеру, где находится священный источник.</w:t>
      </w:r>
    </w:p>
    <w:p w14:paraId="4875058F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>Ситораи</w:t>
      </w: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>Мохи</w:t>
      </w: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>Хоса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 — это загородная резиденция бухарских эмиров, сочетающая восточную и европейскую архитектуру. Дворец известен своими изысканными интерьерами, садами и атмосферой роскоши.</w:t>
      </w:r>
    </w:p>
    <w:p w14:paraId="4C631C4F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>Чор</w:t>
      </w: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 xml:space="preserve"> Минор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 — уникальное медресе с четырьмя башнями-минаретами, расположенное в жилом районе Бухары. Это одно из самых необычных и фотогеничных архитектурных сооружений города.</w:t>
      </w:r>
    </w:p>
    <w:p w14:paraId="1141E8FB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Обед в местном кафе</w:t>
      </w:r>
    </w:p>
    <w:p w14:paraId="62D4A5BE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Посещения базара для личного шопинга. Свободное время</w:t>
      </w:r>
    </w:p>
    <w:p w14:paraId="12E760CA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 Возвращение в гостиницу</w:t>
      </w:r>
    </w:p>
    <w:p w14:paraId="5178D509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292929"/>
          <w:sz w:val="24"/>
          <w:szCs w:val="24"/>
          <w:highlight w:val="yellow"/>
        </w:rPr>
        <w:t xml:space="preserve">5 ДЕНЬ </w:t>
      </w:r>
    </w:p>
    <w:p w14:paraId="2391A831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Туристу на завтрак выдается Ланч бокс </w:t>
      </w:r>
    </w:p>
    <w:p w14:paraId="25EE2530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Выезд в аэропорт Бухары</w:t>
      </w:r>
    </w:p>
    <w:p w14:paraId="3C155D8E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07:30 Вылет домой</w:t>
      </w:r>
    </w:p>
    <w:p w14:paraId="1A84A12C">
      <w:pPr>
        <w:pStyle w:val="style0"/>
        <w:spacing w:lineRule="auto" w:line="253"/>
        <w:ind w:left="0" w:hanging="2"/>
        <w:rPr>
          <w:rFonts w:ascii="Times New Roman" w:cs="Times New Roman" w:hAnsi="Times New Roman"/>
        </w:rPr>
      </w:pPr>
    </w:p>
    <w:p w14:paraId="2BF43503">
      <w:pPr>
        <w:pStyle w:val="style0"/>
        <w:spacing w:lineRule="auto" w:line="253"/>
        <w:ind w:left="0" w:hanging="2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В стоимость </w:t>
      </w:r>
      <w:r>
        <w:rPr>
          <w:rFonts w:ascii="Times New Roman" w:cs="Times New Roman" w:hAnsi="Times New Roman"/>
          <w:b/>
        </w:rPr>
        <w:t>тура входит</w:t>
      </w:r>
      <w:r>
        <w:rPr>
          <w:rFonts w:ascii="Times New Roman" w:cs="Times New Roman" w:hAnsi="Times New Roman"/>
          <w:b/>
        </w:rPr>
        <w:t>:</w:t>
      </w:r>
      <w:r>
        <w:rPr>
          <w:rFonts w:ascii="Times New Roman" w:cs="Times New Roman" w:hAnsi="Times New Roman"/>
          <w:b/>
        </w:rPr>
        <w:t xml:space="preserve"> </w:t>
      </w:r>
      <w:r>
        <w:rPr>
          <w:rFonts w:ascii="Times New Roman" w:cs="Times New Roman" w:hAnsi="Times New Roman"/>
          <w:bCs/>
        </w:rPr>
        <w:t>Проживание в отеле на базе завтраков, трансфер на протяжении всех экскурсий на индивидуальной основе, услуги профессионального гида, входные билеты согласно программе, водоснабжение, 1 завтрак в местом кафе, 4 обеда в местном кафе, 1 ланч бокс завтрак, билет на скоростной поезд в Бухару</w:t>
      </w:r>
      <w:r>
        <w:rPr>
          <w:rFonts w:ascii="Times New Roman" w:cs="Times New Roman" w:hAnsi="Times New Roman"/>
          <w:bCs/>
        </w:rPr>
        <w:t>, сопровождение представителем компании</w:t>
      </w:r>
    </w:p>
    <w:p w14:paraId="1038F953">
      <w:pPr>
        <w:pStyle w:val="style0"/>
        <w:spacing w:lineRule="auto" w:line="253"/>
        <w:ind w:left="0" w:hanging="2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Дополнительно оплачивается:</w:t>
      </w:r>
    </w:p>
    <w:p w14:paraId="74C1AA9C">
      <w:pPr>
        <w:pStyle w:val="style0"/>
        <w:spacing w:lineRule="auto" w:line="253"/>
        <w:ind w:left="0" w:hanging="2"/>
        <w:rPr>
          <w:rFonts w:ascii="Times New Roman" w:cs="Times New Roman" w:hAnsi="Times New Roman"/>
          <w:bCs/>
        </w:rPr>
      </w:pPr>
      <w:r>
        <w:rPr>
          <w:rFonts w:ascii="Times New Roman" w:cs="Times New Roman" w:hAnsi="Times New Roman"/>
          <w:bCs/>
        </w:rPr>
        <w:t>Личные расходы, дополнительные мероприятия, авиабилеты, дополнительное питание, алкогольные напитки, любые другие услуги не упомянутые в разделе «В стоимость включено».</w:t>
      </w:r>
    </w:p>
    <w:p w14:paraId="21A5D269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>*Оплата тура производится в рублях по курсу на день оплаты.</w:t>
      </w:r>
    </w:p>
    <w:p w14:paraId="7185D2CB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>**Фирма оставляет за собой право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 менять порядок экскурсий, не меняя программы в целом. В случаях непреодолимый силы (форс-мажорах), компания имеет право на замену запланированного экскурсионного объекта не теряя качества.</w:t>
      </w:r>
    </w:p>
    <w:p w14:paraId="12CED0AE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color w:val="29292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292929"/>
          <w:sz w:val="24"/>
          <w:szCs w:val="24"/>
        </w:rPr>
        <w:t xml:space="preserve">***Фирма оставляет за собой право 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 xml:space="preserve">на замену транспорта при наборе группы менее 18 человек на микроавтобус 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туркласса</w:t>
      </w:r>
      <w:r>
        <w:rPr>
          <w:rFonts w:ascii="Times New Roman" w:cs="Times New Roman" w:eastAsia="Times New Roman" w:hAnsi="Times New Roman"/>
          <w:color w:val="292929"/>
          <w:sz w:val="24"/>
          <w:szCs w:val="24"/>
        </w:rPr>
        <w:t>. Посадочные места будут изменены. Изменения в стоимости при наборе группы менее 18 чел</w:t>
      </w:r>
    </w:p>
    <w:p w14:paraId="1AB2F67E">
      <w:pPr>
        <w:pStyle w:val="style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150" w:lineRule="auto" w:line="240"/>
        <w:ind w:left="0" w:hanging="2"/>
        <w:jc w:val="both"/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>****Актуальную стоимость уточняйте при бронировании тура</w:t>
      </w:r>
    </w:p>
    <w:sectPr>
      <w:pgSz w:w="11906" w:h="16838" w:orient="portrait"/>
      <w:pgMar w:top="426" w:right="566" w:bottom="142" w:left="42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005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altName w:val="Lucida Sans Unicode"/>
    <w:panose1 w:val="020b0602030005020204"/>
    <w:charset w:val="cc"/>
    <w:family w:val="swiss"/>
    <w:pitch w:val="variable"/>
    <w:sig w:usb0="80000AFF" w:usb1="0000396B" w:usb2="00000000" w:usb3="00000000" w:csb0="000000BF" w:csb1="00000000"/>
  </w:font>
  <w:font w:name="Georgia">
    <w:altName w:val="Georgia"/>
    <w:panose1 w:val="02040502050004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0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BB8A0E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Calibri" w:eastAsia="Calibri" w:hAnsi="Calibri"/>
        <w:lang w:bidi="ar-SA" w:eastAsia="ru-RU"/>
      </w:rPr>
    </w:rPrDefault>
    <w:pPrDefault>
      <w:pPr/>
    </w:pPrDefault>
  </w:docDefaults>
  <w:style w:type="paragraph" w:default="1" w:styleId="style0">
    <w:name w:val="Normal"/>
    <w:next w:val="style0"/>
    <w:pPr>
      <w:suppressAutoHyphens/>
      <w:spacing w:after="200" w:lineRule="auto" w:line="276"/>
      <w:ind w:left="-1" w:leftChars="-1" w:hanging="1" w:hangingChars="1"/>
      <w:textDirection w:val="btLr"/>
      <w:textAlignment w:val="top"/>
      <w:outlineLvl w:val="0"/>
    </w:pPr>
    <w:rPr>
      <w:position w:val="-1"/>
      <w:sz w:val="22"/>
      <w:szCs w:val="22"/>
      <w:lang w:val="ru-RU" w:eastAsia="en-US"/>
    </w:rPr>
  </w:style>
  <w:style w:type="paragraph" w:styleId="style1">
    <w:name w:val="heading 1"/>
    <w:basedOn w:val="style0"/>
    <w:next w:val="style0"/>
    <w:pPr>
      <w:keepNext/>
      <w:keepLines/>
      <w:spacing w:before="480" w:after="120"/>
    </w:pPr>
    <w:rPr>
      <w:b/>
      <w:sz w:val="48"/>
      <w:szCs w:val="48"/>
    </w:rPr>
  </w:style>
  <w:style w:type="paragraph" w:styleId="style2">
    <w:name w:val="heading 2"/>
    <w:basedOn w:val="style0"/>
    <w:next w:val="style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style3">
    <w:name w:val="heading 3"/>
    <w:basedOn w:val="style0"/>
    <w:next w:val="style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style4">
    <w:name w:val="heading 4"/>
    <w:basedOn w:val="style0"/>
    <w:next w:val="style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style5">
    <w:name w:val="heading 5"/>
    <w:basedOn w:val="style0"/>
    <w:next w:val="style0"/>
    <w:pPr>
      <w:keepNext/>
      <w:keepLines/>
      <w:spacing w:before="220" w:after="40"/>
      <w:outlineLvl w:val="4"/>
    </w:pPr>
    <w:rPr>
      <w:b/>
    </w:rPr>
  </w:style>
  <w:style w:type="paragraph" w:styleId="style6">
    <w:name w:val="heading 6"/>
    <w:basedOn w:val="style0"/>
    <w:next w:val="style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styleId="style62">
    <w:name w:val="Title"/>
    <w:basedOn w:val="style0"/>
    <w:next w:val="style0"/>
    <w:pPr>
      <w:keepNext/>
      <w:keepLines/>
      <w:spacing w:before="480" w:after="120"/>
    </w:pPr>
    <w:rPr>
      <w:b/>
      <w:sz w:val="72"/>
      <w:szCs w:val="72"/>
    </w:rPr>
  </w:style>
  <w:style w:type="paragraph" w:styleId="style153">
    <w:name w:val="Balloon Text"/>
    <w:basedOn w:val="style0"/>
    <w:next w:val="style153"/>
    <w:qFormat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8">
    <w:name w:val="Текст выноски Знак"/>
    <w:next w:val="style4098"/>
    <w:rPr>
      <w:rFonts w:ascii="Tahoma" w:cs="Tahoma" w:hAnsi="Tahoma"/>
      <w:w w:val="100"/>
      <w:position w:val="-1"/>
      <w:sz w:val="16"/>
      <w:szCs w:val="16"/>
      <w:effect w:val="none"/>
      <w:vertAlign w:val="baseline"/>
      <w:cs w:val="false"/>
      <w:em w:val="none"/>
    </w:rPr>
  </w:style>
  <w:style w:type="table" w:styleId="style154">
    <w:name w:val="Table Grid"/>
    <w:basedOn w:val="style105"/>
    <w:next w:val="style154"/>
    <w:pPr>
      <w:suppressAutoHyphens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94">
    <w:name w:val="Normal (Web)"/>
    <w:basedOn w:val="style0"/>
    <w:next w:val="style94"/>
    <w:qFormat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style85">
    <w:name w:val="Hyperlink"/>
    <w:next w:val="style85"/>
    <w:qFormat/>
    <w:rPr>
      <w:color w:val="0000ff"/>
      <w:w w:val="100"/>
      <w:position w:val="-1"/>
      <w:u w:val="single"/>
      <w:effect w:val="none"/>
      <w:vertAlign w:val="baseline"/>
      <w:cs w:val="false"/>
      <w:em w:val="none"/>
    </w:rPr>
  </w:style>
  <w:style w:type="character" w:styleId="style87">
    <w:name w:val="Strong"/>
    <w:next w:val="style87"/>
    <w:rPr>
      <w:b/>
      <w:bCs/>
      <w:w w:val="100"/>
      <w:position w:val="-1"/>
      <w:effect w:val="none"/>
      <w:vertAlign w:val="baseline"/>
      <w:cs w:val="false"/>
      <w:em w:val="none"/>
    </w:rPr>
  </w:style>
  <w:style w:type="paragraph" w:customStyle="1" w:styleId="style4099">
    <w:name w:val="Содержимое таблицы"/>
    <w:basedOn w:val="style0"/>
    <w:next w:val="style4099"/>
    <w:pPr>
      <w:widowControl w:val="false"/>
      <w:suppressLineNumbers/>
      <w:suppressAutoHyphens w:val="false"/>
      <w:spacing w:after="0" w:lineRule="auto" w:line="240"/>
    </w:pPr>
    <w:rPr>
      <w:rFonts w:ascii="Times New Roman" w:eastAsia="Lucida Sans Unicode" w:hAnsi="Times New Roman"/>
      <w:kern w:val="1"/>
      <w:sz w:val="24"/>
      <w:szCs w:val="24"/>
      <w:lang w:val="en-US" w:eastAsia="ar-SA"/>
    </w:rPr>
  </w:style>
  <w:style w:type="paragraph" w:styleId="style157">
    <w:name w:val="No Spacing"/>
    <w:next w:val="style157"/>
    <w:pPr>
      <w:suppressAutoHyphens/>
      <w:spacing w:lineRule="atLeast" w:line="1"/>
      <w:ind w:left="-1" w:leftChars="-1" w:hanging="1" w:hangingChars="1"/>
      <w:textDirection w:val="btLr"/>
      <w:textAlignment w:val="top"/>
      <w:outlineLvl w:val="0"/>
    </w:pPr>
    <w:rPr>
      <w:position w:val="-1"/>
      <w:sz w:val="22"/>
      <w:szCs w:val="22"/>
      <w:lang w:val="ru-RU" w:eastAsia="en-US"/>
    </w:rPr>
  </w:style>
  <w:style w:type="paragraph" w:styleId="style74">
    <w:name w:val="Subtitle"/>
    <w:basedOn w:val="style0"/>
    <w:next w:val="style0"/>
    <w:pPr>
      <w:keepNext/>
      <w:keepLines/>
      <w:spacing w:before="360" w:after="80"/>
    </w:pPr>
    <w:rPr>
      <w:rFonts w:ascii="Georgia" w:cs="Georgia" w:eastAsia="Georgia" w:hAnsi="Georgia"/>
      <w:i/>
      <w:color w:val="666666"/>
      <w:sz w:val="48"/>
      <w:szCs w:val="48"/>
    </w:rPr>
  </w:style>
  <w:style w:type="table" w:customStyle="1" w:styleId="style4100">
    <w:basedOn w:val="style4097"/>
    <w:next w:val="style4100"/>
    <w:pPr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3" Type="http://schemas.openxmlformats.org/officeDocument/2006/relationships/theme" Target="theme/theme1.xml"/><Relationship Id="rId12" Type="http://schemas.openxmlformats.org/officeDocument/2006/relationships/settings" Target="settings.xml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2.png"/><Relationship Id="rId9" Type="http://schemas.openxmlformats.org/officeDocument/2006/relationships/image" Target="media/image4.jpeg"/><Relationship Id="rId14" Type="http://schemas.openxmlformats.org/officeDocument/2006/relationships/customXml" Target="../customXml/item1.xml"/><Relationship Id="rId5" Type="http://schemas.openxmlformats.org/officeDocument/2006/relationships/image" Target="media/image3.png"/><Relationship Id="rId6" Type="http://schemas.openxmlformats.org/officeDocument/2006/relationships/image" Target="media/image3.jpeg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99lBuijhZTmRjyqMTRaN3JFZ6w==">CgMxLjA4AHIhMTFPWUFSOHBocWJZM0hfUWhjdHdNY0NNR2JqSGtGOTFZ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1315</Words>
  <Pages>5</Pages>
  <Characters>8792</Characters>
  <Application>WPS Office</Application>
  <DocSecurity>0</DocSecurity>
  <Paragraphs>95</Paragraphs>
  <ScaleCrop>false</ScaleCrop>
  <LinksUpToDate>false</LinksUpToDate>
  <CharactersWithSpaces>10055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2026-09-06T10:50:20Z</dcterms:created>
  <dc:creator>Куделко</dc:creator>
  <lastModifiedBy>BKY-W09</lastModifiedBy>
  <dcterms:modified xsi:type="dcterms:W3CDTF">2026-09-06T10:50:20Z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8e909d2a12bb4a05968931c796b4cfa0_23</vt:lpwstr>
  </property>
</Properties>
</file>