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4707" w:type="dxa"/>
        <w:tblLook w:val="04A0" w:firstRow="1" w:lastRow="0" w:firstColumn="1" w:lastColumn="0" w:noHBand="0" w:noVBand="1"/>
      </w:tblPr>
      <w:tblGrid>
        <w:gridCol w:w="724"/>
        <w:gridCol w:w="10050"/>
        <w:gridCol w:w="724"/>
        <w:gridCol w:w="2436"/>
        <w:gridCol w:w="774"/>
      </w:tblGrid>
      <w:tr>
        <w:trPr>
          <w:trHeight w:val="1589" w:hRule="atLeast"/>
        </w:trPr>
        <w:tc>
          <w:tcPr>
            <w:tcW w:w="1825" w:type="dxa"/>
            <w:tcBorders/>
          </w:tcPr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w="1825" w:type="dxa"/>
            <w:tcBorders/>
          </w:tcPr>
          <w:tbl>
            <w:tblPr>
              <w:tblW w:w="9834" w:type="dxa"/>
              <w:tblLook w:val="04A0" w:firstRow="1" w:lastRow="0" w:firstColumn="1" w:lastColumn="0" w:noHBand="0" w:noVBand="1"/>
            </w:tblPr>
            <w:tblGrid>
              <w:gridCol w:w="3306"/>
              <w:gridCol w:w="6528"/>
            </w:tblGrid>
            <w:tr>
              <w:trPr>
                <w:trHeight w:val="603" w:hRule="atLeast"/>
              </w:trPr>
              <w:tc>
                <w:tcPr>
                  <w:tcW w:w="3186" w:type="dxa"/>
                  <w:tcBorders/>
                  <w:shd w:val="clear" w:color="auto" w:fill="auto"/>
                </w:tcPr>
                <w:p>
                  <w:pPr>
                    <w:pStyle w:val="style0"/>
                    <w:spacing w:after="0"/>
                    <w:jc w:val="both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  <w:noProof/>
                      <w:lang w:eastAsia="ru-RU"/>
                    </w:rPr>
                    <w:drawing>
                      <wp:inline distL="0" distT="0" distB="0" distR="0">
                        <wp:extent cx="1952625" cy="942975"/>
                        <wp:effectExtent l="0" t="0" r="9525" b="9525"/>
                        <wp:docPr id="1026" name="Рисунок 2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52625" cy="94297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48" w:type="dxa"/>
                  <w:tcBorders/>
                  <w:shd w:val="clear" w:color="auto" w:fill="auto"/>
                </w:tcPr>
                <w:p>
                  <w:pPr>
                    <w:pStyle w:val="style0"/>
                    <w:spacing w:after="0"/>
                    <w:jc w:val="both"/>
                    <w:rPr>
                      <w:rFonts w:ascii="Times New Roman" w:cs="Times New Roman" w:hAnsi="Times New Roman"/>
                      <w:b/>
                    </w:rPr>
                  </w:pPr>
                </w:p>
                <w:p>
                  <w:pPr>
                    <w:pStyle w:val="style0"/>
                    <w:spacing w:after="0"/>
                    <w:ind w:left="1269"/>
                    <w:jc w:val="both"/>
                    <w:rPr>
                      <w:rFonts w:ascii="Times New Roman" w:cs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0"/>
                    </w:rPr>
                    <w:t>ООО «Карта Твоих Впечатлений» ИНН 5022079035</w:t>
                  </w:r>
                </w:p>
                <w:p>
                  <w:pPr>
                    <w:pStyle w:val="style0"/>
                    <w:spacing w:after="0"/>
                    <w:ind w:left="1269"/>
                    <w:jc w:val="both"/>
                    <w:rPr>
                      <w:rFonts w:ascii="Times New Roman" w:cs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0"/>
                    </w:rPr>
                    <w:t>М. О. г. Коломна ул. Малышева д.17 офис 30</w:t>
                  </w:r>
                </w:p>
                <w:p>
                  <w:pPr>
                    <w:pStyle w:val="style0"/>
                    <w:spacing w:after="0"/>
                    <w:ind w:left="1269"/>
                    <w:jc w:val="both"/>
                    <w:rPr>
                      <w:rFonts w:ascii="Times New Roman" w:cs="Times New Roman" w:hAnsi="Times New Roman"/>
                      <w:sz w:val="20"/>
                    </w:rPr>
                  </w:pPr>
                  <w:r>
                    <w:rPr>
                      <w:rFonts w:ascii="Times New Roman" w:cs="Times New Roman" w:hAnsi="Times New Roman"/>
                      <w:sz w:val="20"/>
                    </w:rPr>
                    <w:t xml:space="preserve">эл. почта: </w:t>
                  </w:r>
                  <w:r>
                    <w:rPr/>
                    <w:fldChar w:fldCharType="begin"/>
                  </w:r>
                  <w:r>
                    <w:instrText xml:space="preserve"> HYPERLINK "mailto:ktv2024@list.ru"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  <w:rFonts w:ascii="Times New Roman" w:cs="Times New Roman" w:hAnsi="Times New Roman"/>
                      <w:sz w:val="20"/>
                      <w:lang w:val="en-US"/>
                    </w:rPr>
                    <w:t>ktv</w:t>
                  </w:r>
                  <w:r>
                    <w:rPr>
                      <w:rStyle w:val="style85"/>
                      <w:rFonts w:ascii="Times New Roman" w:cs="Times New Roman" w:hAnsi="Times New Roman"/>
                      <w:sz w:val="20"/>
                    </w:rPr>
                    <w:t>2024@</w:t>
                  </w:r>
                  <w:r>
                    <w:rPr>
                      <w:rStyle w:val="style85"/>
                      <w:rFonts w:ascii="Times New Roman" w:cs="Times New Roman" w:hAnsi="Times New Roman"/>
                      <w:sz w:val="20"/>
                      <w:lang w:val="en-US"/>
                    </w:rPr>
                    <w:t>list</w:t>
                  </w:r>
                  <w:r>
                    <w:rPr>
                      <w:rStyle w:val="style85"/>
                      <w:rFonts w:ascii="Times New Roman" w:cs="Times New Roman" w:hAnsi="Times New Roman"/>
                      <w:sz w:val="20"/>
                    </w:rPr>
                    <w:t>.</w:t>
                  </w:r>
                  <w:r>
                    <w:rPr>
                      <w:rStyle w:val="style85"/>
                      <w:rFonts w:ascii="Times New Roman" w:cs="Times New Roman" w:hAnsi="Times New Roman"/>
                      <w:sz w:val="20"/>
                      <w:lang w:val="en-US"/>
                    </w:rPr>
                    <w:t>ru</w:t>
                  </w:r>
                  <w:r>
                    <w:rPr/>
                    <w:fldChar w:fldCharType="end"/>
                  </w:r>
                </w:p>
                <w:p>
                  <w:pPr>
                    <w:pStyle w:val="style0"/>
                    <w:spacing w:after="0"/>
                    <w:ind w:left="1269"/>
                    <w:jc w:val="both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  <w:sz w:val="20"/>
                    </w:rPr>
                    <w:t>телефоны для связи: +7-915-454-78-52; +7-915-142-74-22</w:t>
                  </w:r>
                </w:p>
              </w:tc>
            </w:tr>
          </w:tbl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  <w:b/>
              </w:rPr>
            </w:pPr>
          </w:p>
        </w:tc>
        <w:tc>
          <w:tcPr>
            <w:tcW w:w="1825" w:type="dxa"/>
            <w:tcBorders/>
            <w:shd w:val="clear" w:color="auto" w:fill="auto"/>
          </w:tcPr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w="7249" w:type="dxa"/>
            <w:tcBorders/>
            <w:shd w:val="clear" w:color="auto" w:fill="auto"/>
          </w:tcPr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w="1983" w:type="dxa"/>
            <w:tcBorders/>
            <w:shd w:val="clear" w:color="auto" w:fill="auto"/>
          </w:tcPr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spacing w:after="0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Транспорт:</w:t>
      </w:r>
      <w:r>
        <w:rPr>
          <w:rFonts w:ascii="Times New Roman" w:cs="Times New Roman" w:hAnsi="Times New Roman"/>
        </w:rPr>
        <w:t xml:space="preserve"> на </w:t>
      </w:r>
      <w:r>
        <w:rPr>
          <w:rFonts w:ascii="Times New Roman" w:cs="Times New Roman" w:hAnsi="Times New Roman"/>
        </w:rPr>
        <w:t>50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посадочных мест </w:t>
      </w: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Маршрут: </w:t>
      </w:r>
      <w:r>
        <w:rPr>
          <w:rFonts w:ascii="Times New Roman" w:cs="Times New Roman" w:hAnsi="Times New Roman"/>
        </w:rPr>
        <w:t>г. Москва</w:t>
      </w: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Ваш менеджер</w:t>
      </w:r>
      <w:r>
        <w:rPr>
          <w:rFonts w:ascii="Times New Roman" w:cs="Times New Roman" w:hAnsi="Times New Roman"/>
        </w:rPr>
        <w:t xml:space="preserve">: </w:t>
      </w:r>
      <w:bookmarkStart w:id="0" w:name="_GoBack"/>
      <w:bookmarkEnd w:id="0"/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highlight w:val="yellow"/>
        </w:rPr>
        <w:t>«</w:t>
      </w:r>
      <w:r>
        <w:rPr>
          <w:rFonts w:cs="Times New Roman" w:hAnsi="Times New Roman"/>
          <w:b/>
          <w:highlight w:val="yellow"/>
          <w:lang w:val="en-US"/>
        </w:rPr>
        <w:t>Легенды Большого</w:t>
      </w:r>
      <w:r>
        <w:rPr>
          <w:rFonts w:ascii="Times New Roman" w:cs="Times New Roman" w:hAnsi="Times New Roman"/>
          <w:b/>
          <w:highlight w:val="yellow"/>
        </w:rPr>
        <w:t>»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1</w:t>
      </w:r>
      <w:r>
        <w:rPr>
          <w:rFonts w:ascii="Times New Roman" w:cs="Times New Roman" w:hAnsi="Times New Roman"/>
          <w:b/>
        </w:rPr>
        <w:t>2</w:t>
      </w:r>
      <w:r>
        <w:rPr>
          <w:rFonts w:ascii="Times New Roman" w:cs="Times New Roman" w:hAnsi="Times New Roman"/>
          <w:b/>
        </w:rPr>
        <w:t>+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Приглашаем вас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 xml:space="preserve">на уникальную экскурсию </w:t>
      </w:r>
      <w:r>
        <w:rPr>
          <w:rFonts w:ascii="Times New Roman" w:cs="Times New Roman" w:hAnsi="Times New Roman"/>
          <w:b/>
        </w:rPr>
        <w:t>в мир искусства и истории, где каждое мгновение наполнено чудесами и открытиями!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ind w:firstLine="709"/>
        <w:jc w:val="both"/>
        <w:rPr/>
      </w:pPr>
      <w:r>
        <w:rPr>
          <w:rFonts w:ascii="Times New Roman" w:cs="Times New Roman" w:hAnsi="Times New Roman"/>
        </w:rPr>
        <w:t>Вас ждет обзорная экскурсия</w:t>
      </w:r>
      <w:r>
        <w:rPr>
          <w:rFonts w:ascii="Times New Roman" w:cs="Times New Roman" w:hAnsi="Times New Roman"/>
        </w:rPr>
        <w:t xml:space="preserve"> по Большому театру</w:t>
      </w:r>
      <w:r>
        <w:rPr>
          <w:rFonts w:ascii="Times New Roman" w:cs="Times New Roman" w:hAnsi="Times New Roman"/>
        </w:rPr>
        <w:t>, которая перенесет вас в обновленный театр, ставший настоящим шедевром инженерной мысли. Вы увидите, как благодаря ювелирной работе реставраторов старинное здание обрело новый облик и новые возможности, чтобы радовать зрителей.</w:t>
      </w:r>
      <w:r>
        <w:t xml:space="preserve"> 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Вы увидите</w:t>
      </w:r>
      <w:r>
        <w:t xml:space="preserve">: </w:t>
      </w:r>
      <w:r>
        <w:rPr>
          <w:rFonts w:ascii="Times New Roman" w:cs="Times New Roman" w:hAnsi="Times New Roman"/>
          <w:b/>
        </w:rPr>
        <w:t>Белое фойе</w:t>
      </w:r>
      <w:r>
        <w:rPr>
          <w:rFonts w:ascii="Times New Roman" w:cs="Times New Roman" w:hAnsi="Times New Roman"/>
        </w:rPr>
        <w:t xml:space="preserve"> — изящное пространство, где свет и стиль создают неповторимую атмосферу.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Малое Императорское фойе</w:t>
      </w:r>
      <w:r>
        <w:rPr>
          <w:rFonts w:ascii="Times New Roman" w:cs="Times New Roman" w:hAnsi="Times New Roman"/>
        </w:rPr>
        <w:t xml:space="preserve"> — зал с чудесной акустикой, где даже шепот может быть услышан на противоположной стороне.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Макеты декораций</w:t>
      </w:r>
      <w:r>
        <w:rPr>
          <w:rFonts w:ascii="Times New Roman" w:cs="Times New Roman" w:hAnsi="Times New Roman"/>
        </w:rPr>
        <w:t xml:space="preserve"> — </w:t>
      </w:r>
      <w:r>
        <w:rPr>
          <w:rFonts w:ascii="Times New Roman" w:cs="Times New Roman" w:hAnsi="Times New Roman"/>
        </w:rPr>
        <w:t>здесь вы сможете увидеть, как создается театральное волшебство, и представить, как сценические миры оживают на ваших глазах.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Ложи Бельэтажа</w:t>
      </w:r>
      <w:r>
        <w:rPr>
          <w:rFonts w:ascii="Times New Roman" w:cs="Times New Roman" w:hAnsi="Times New Roman"/>
        </w:rPr>
        <w:t xml:space="preserve"> — насладитесь великолепным видом на зрительный зал и оцените, как театр стал ближе к своим зрителям.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Бетховенский зал</w:t>
      </w:r>
      <w:r>
        <w:rPr>
          <w:rFonts w:ascii="Times New Roman" w:cs="Times New Roman" w:hAnsi="Times New Roman"/>
        </w:rPr>
        <w:t xml:space="preserve"> — пространство, украшенное вдохновением, где звучат музыки, способные тронуть самые глубокие струны души.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Большой зрительный зал</w:t>
      </w:r>
      <w:r>
        <w:rPr>
          <w:rFonts w:ascii="Times New Roman" w:cs="Times New Roman" w:hAnsi="Times New Roman"/>
        </w:rPr>
        <w:t xml:space="preserve"> — сердце театра, где вы почувствуете магию живых выступлений и атмосферу творчества.</w:t>
      </w: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После погружения в театральный мир мы продолжим наш путь по Третьяковскому проезду и знаменитой улице Никольской. Эти улицы захватывают дух своей историей и культурой, а на Красной площади вы ощутите пульс всей столицы, погружаясь в атмосферу её величия.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  <w:color w:val="000000"/>
          <w:shd w:val="clear" w:color="auto" w:fill="ffffff"/>
        </w:rPr>
      </w:pP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  <w:color w:val="000000"/>
          <w:shd w:val="clear" w:color="auto" w:fill="ffffff"/>
        </w:rPr>
      </w:pPr>
      <w:r>
        <w:rPr>
          <w:rFonts w:ascii="Times New Roman" w:cs="Times New Roman" w:hAnsi="Times New Roman"/>
          <w:color w:val="000000"/>
          <w:shd w:val="clear" w:color="auto" w:fill="ffffff"/>
        </w:rPr>
        <w:t>Отправление домой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Стоимость тура на школьную группу: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30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шк</w:t>
      </w:r>
      <w:r>
        <w:rPr>
          <w:rFonts w:ascii="Times New Roman" w:cs="Times New Roman" w:hAnsi="Times New Roman"/>
        </w:rPr>
        <w:t xml:space="preserve">+ </w:t>
      </w:r>
      <w:r>
        <w:rPr>
          <w:rFonts w:ascii="Times New Roman" w:cs="Times New Roman" w:hAnsi="Times New Roman"/>
        </w:rPr>
        <w:t>1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уч</w:t>
      </w:r>
      <w:r>
        <w:rPr>
          <w:rFonts w:ascii="Times New Roman" w:cs="Times New Roman" w:hAnsi="Times New Roman"/>
        </w:rPr>
        <w:t xml:space="preserve"> б</w:t>
      </w:r>
      <w:r>
        <w:rPr>
          <w:rFonts w:ascii="Times New Roman" w:cs="Times New Roman" w:hAnsi="Times New Roman"/>
        </w:rPr>
        <w:t>/</w:t>
      </w:r>
      <w:r>
        <w:rPr>
          <w:rFonts w:ascii="Times New Roman" w:cs="Times New Roman" w:hAnsi="Times New Roman"/>
        </w:rPr>
        <w:t>пл</w:t>
      </w:r>
      <w:r>
        <w:rPr>
          <w:rFonts w:ascii="Times New Roman" w:cs="Times New Roman" w:hAnsi="Times New Roman"/>
        </w:rPr>
        <w:t xml:space="preserve"> = </w:t>
      </w:r>
      <w:r>
        <w:rPr>
          <w:rFonts w:ascii="Times New Roman" w:cs="Times New Roman" w:hAnsi="Times New Roman"/>
        </w:rPr>
        <w:t xml:space="preserve">6 </w:t>
      </w:r>
      <w:r>
        <w:rPr>
          <w:rFonts w:ascii="Times New Roman" w:cs="Times New Roman" w:hAnsi="Times New Roman"/>
        </w:rPr>
        <w:t>50</w:t>
      </w:r>
      <w:r>
        <w:rPr>
          <w:rFonts w:ascii="Times New Roman" w:cs="Times New Roman" w:hAnsi="Times New Roman"/>
        </w:rPr>
        <w:t xml:space="preserve">0 </w:t>
      </w:r>
      <w:r>
        <w:rPr>
          <w:rFonts w:ascii="Times New Roman" w:cs="Times New Roman" w:hAnsi="Times New Roman"/>
        </w:rPr>
        <w:t>руб</w:t>
      </w:r>
      <w:r>
        <w:rPr>
          <w:rFonts w:ascii="Times New Roman" w:cs="Times New Roman" w:hAnsi="Times New Roman"/>
        </w:rPr>
        <w:t>/</w:t>
      </w:r>
      <w:r>
        <w:rPr>
          <w:rFonts w:ascii="Times New Roman" w:cs="Times New Roman" w:hAnsi="Times New Roman"/>
        </w:rPr>
        <w:t>шк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В стоимость тура входит</w:t>
      </w:r>
      <w:r>
        <w:rPr>
          <w:rFonts w:ascii="Times New Roman" w:cs="Times New Roman" w:hAnsi="Times New Roman"/>
        </w:rPr>
        <w:t xml:space="preserve">: транспортное обеспечение, </w:t>
      </w:r>
      <w:r>
        <w:rPr>
          <w:rFonts w:ascii="Times New Roman" w:cs="Times New Roman" w:hAnsi="Times New Roman"/>
        </w:rPr>
        <w:t>сопровождение на всем маршруте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 xml:space="preserve">входные билеты в Большой театр, </w:t>
      </w:r>
      <w:r>
        <w:rPr>
          <w:rFonts w:ascii="Times New Roman" w:cs="Times New Roman" w:hAnsi="Times New Roman"/>
        </w:rPr>
        <w:t xml:space="preserve">транспортная-пассажирская страховка, </w:t>
      </w:r>
      <w:r>
        <w:rPr>
          <w:rFonts w:ascii="Times New Roman" w:cs="Times New Roman" w:hAnsi="Times New Roman"/>
        </w:rPr>
        <w:t xml:space="preserve">обзорная </w:t>
      </w:r>
      <w:r>
        <w:rPr>
          <w:rFonts w:ascii="Times New Roman" w:cs="Times New Roman" w:hAnsi="Times New Roman"/>
        </w:rPr>
        <w:t>экскурсия</w:t>
      </w:r>
      <w:r>
        <w:rPr>
          <w:rFonts w:ascii="Times New Roman" w:cs="Times New Roman" w:hAnsi="Times New Roman"/>
        </w:rPr>
        <w:t xml:space="preserve"> по центру Москвы</w:t>
      </w:r>
      <w:r>
        <w:rPr>
          <w:rFonts w:ascii="Times New Roman" w:cs="Times New Roman" w:hAnsi="Times New Roman"/>
        </w:rPr>
        <w:t xml:space="preserve">. </w:t>
      </w:r>
      <w:r>
        <w:rPr>
          <w:rFonts w:ascii="Times New Roman" w:cs="Times New Roman" w:hAnsi="Times New Roman"/>
        </w:rPr>
        <w:t>Оформлении документов в ГИБДД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*Фирма оставляет за собой право на замену транспорта при наборе группы менее 18 человек на микроавтобус </w:t>
      </w:r>
      <w:r>
        <w:rPr>
          <w:rFonts w:ascii="Times New Roman" w:cs="Times New Roman" w:hAnsi="Times New Roman"/>
        </w:rPr>
        <w:t>туркласса</w:t>
      </w:r>
      <w:r>
        <w:rPr>
          <w:rFonts w:ascii="Times New Roman" w:cs="Times New Roman" w:hAnsi="Times New Roman"/>
        </w:rPr>
        <w:t xml:space="preserve">. Посадочные места будут изменены. Стоимость тура будет пересчитано. 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**Фирма оставляет за собой право менять порядок посещения площадок,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sectPr>
      <w:pgSz w:w="11906" w:h="16838" w:orient="portrait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317</Words>
  <Pages>1</Pages>
  <Characters>2005</Characters>
  <Application>WPS Office</Application>
  <DocSecurity>0</DocSecurity>
  <Paragraphs>42</Paragraphs>
  <ScaleCrop>false</ScaleCrop>
  <LinksUpToDate>false</LinksUpToDate>
  <CharactersWithSpaces>2309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2026-02-12T09:49:16Z</dcterms:created>
  <dc:creator>пися Золотая</dc:creator>
  <lastModifiedBy>BKY-W09</lastModifiedBy>
  <dcterms:modified xsi:type="dcterms:W3CDTF">2026-02-12T09:49:16Z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c7d62338d7364326beb9210723ede132</vt:lpwstr>
  </property>
</Properties>
</file>