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4707" w:type="dxa"/>
        <w:tblLook w:val="04A0" w:firstRow="1" w:lastRow="0" w:firstColumn="1" w:lastColumn="0" w:noHBand="0" w:noVBand="1"/>
      </w:tblPr>
      <w:tblGrid>
        <w:gridCol w:w="724"/>
        <w:gridCol w:w="10050"/>
        <w:gridCol w:w="724"/>
        <w:gridCol w:w="2436"/>
        <w:gridCol w:w="774"/>
      </w:tblGrid>
      <w:tr>
        <w:trPr>
          <w:trHeight w:val="1589" w:hRule="atLeast"/>
        </w:trPr>
        <w:tc>
          <w:tcPr>
            <w:tcW w:w="1825" w:type="dxa"/>
            <w:tcBorders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w="1825" w:type="dxa"/>
            <w:tcBorders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>
              <w:trPr>
                <w:trHeight w:val="603" w:hRule="atLeast"/>
              </w:trPr>
              <w:tc>
                <w:tcPr>
                  <w:tcW w:w="3186" w:type="dxa"/>
                  <w:tcBorders/>
                  <w:shd w:val="clear" w:color="auto" w:fill="auto"/>
                </w:tcPr>
                <w:p>
                  <w:pPr>
                    <w:pStyle w:val="style0"/>
                    <w:spacing w:after="0"/>
                    <w:jc w:val="both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  <w:noProof/>
                      <w:lang w:eastAsia="ru-RU"/>
                    </w:rPr>
                    <w:drawing>
                      <wp:inline distL="0" distT="0" distB="0" distR="0">
                        <wp:extent cx="1952625" cy="942975"/>
                        <wp:effectExtent l="0" t="0" r="9525" b="9525"/>
                        <wp:docPr id="1026" name="Рисунок 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52625" cy="94297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tcBorders/>
                  <w:shd w:val="clear" w:color="auto" w:fill="auto"/>
                </w:tcPr>
                <w:p>
                  <w:pPr>
                    <w:pStyle w:val="style0"/>
                    <w:spacing w:after="0"/>
                    <w:jc w:val="both"/>
                    <w:rPr>
                      <w:rFonts w:ascii="Times New Roman" w:cs="Times New Roman" w:hAnsi="Times New Roman"/>
                      <w:b/>
                    </w:rPr>
                  </w:pP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  <w:sz w:val="20"/>
                    </w:rPr>
                  </w:pPr>
                  <w:r>
                    <w:rPr>
                      <w:rFonts w:ascii="Times New Roman" w:cs="Times New Roman" w:hAnsi="Times New Roman"/>
                      <w:sz w:val="20"/>
                    </w:rPr>
                    <w:t xml:space="preserve">эл. почта: </w:t>
                  </w:r>
                  <w:r>
                    <w:rPr/>
                    <w:fldChar w:fldCharType="begin"/>
                  </w:r>
                  <w:r>
                    <w:instrText xml:space="preserve"> HYPERLINK "mailto:ktv2024@list.ru"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  <w:lang w:val="en-US"/>
                    </w:rPr>
                    <w:t>ktv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</w:rPr>
                    <w:t>2024@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  <w:lang w:val="en-US"/>
                    </w:rPr>
                    <w:t>list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</w:rPr>
                    <w:t>.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  <w:lang w:val="en-US"/>
                    </w:rPr>
                    <w:t>ru</w:t>
                  </w:r>
                  <w:r>
                    <w:rPr/>
                    <w:fldChar w:fldCharType="end"/>
                  </w: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1825" w:type="dxa"/>
            <w:tcBorders/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w="7249" w:type="dxa"/>
            <w:tcBorders/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Транспорт:</w:t>
      </w:r>
      <w:r>
        <w:rPr>
          <w:rFonts w:ascii="Times New Roman" w:cs="Times New Roman" w:hAnsi="Times New Roman"/>
        </w:rPr>
        <w:t xml:space="preserve"> а</w:t>
      </w:r>
      <w:r>
        <w:rPr>
          <w:rFonts w:ascii="Times New Roman" w:cs="Times New Roman" w:hAnsi="Times New Roman"/>
          <w:lang w:val="en-US"/>
        </w:rPr>
        <w:t>втобус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Маршрут: </w:t>
      </w:r>
      <w:r>
        <w:rPr>
          <w:rFonts w:ascii="Times New Roman" w:cs="Times New Roman" w:hAnsi="Times New Roman"/>
        </w:rPr>
        <w:t>Москва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Посадка туристов: г. Воскресенск, г. Коломна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highlight w:val="yellow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Музыкальный спектакль «Ночь перед Рождеством»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Выезд 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Приглашаем вас на волшебный </w:t>
      </w:r>
      <w:r>
        <w:rPr>
          <w:rFonts w:ascii="Times New Roman" w:cs="Times New Roman" w:hAnsi="Times New Roman"/>
          <w:b/>
        </w:rPr>
        <w:t>спектакль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>"Ночь перед Рождеством"</w:t>
      </w:r>
      <w:r>
        <w:rPr>
          <w:rFonts w:ascii="Times New Roman" w:cs="Times New Roman" w:hAnsi="Times New Roman"/>
        </w:rPr>
        <w:t>, основанный на знаменитой повести Николая Гоголя, который переносит зрителей в атмосферу традиционного украинского Рождества. Эта история о любви, чудесах и испытаниях, наполненная колоритом и загадками, не оставит равнодушными ни детей, ни взрослых.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Знакомый каждому со школьной скамьи сюжет разворачивается в удивительных декорациях художника Павла </w:t>
      </w:r>
      <w:r>
        <w:rPr>
          <w:rFonts w:ascii="Times New Roman" w:cs="Times New Roman" w:hAnsi="Times New Roman"/>
          <w:b/>
        </w:rPr>
        <w:t>Каплевича</w:t>
      </w:r>
      <w:r>
        <w:rPr>
          <w:rFonts w:ascii="Times New Roman" w:cs="Times New Roman" w:hAnsi="Times New Roman"/>
          <w:b/>
        </w:rPr>
        <w:t xml:space="preserve">. Благодаря его художественному видению сценическое пространство постоянно меняется: то превращается в заснеженный двор, то в уютное питейное заведение — Шинок, а порой даже во дворец Императрицы.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Когда из печных труб струится дымок, в окнах светит огонек, а за дверью завывает метель, получается впечатление, словно ты оказался в рождественской сказке. Здесь кузнец </w:t>
      </w:r>
      <w:r>
        <w:rPr>
          <w:rFonts w:ascii="Times New Roman" w:cs="Times New Roman" w:hAnsi="Times New Roman"/>
        </w:rPr>
        <w:t>Вакула</w:t>
      </w:r>
      <w:r>
        <w:rPr>
          <w:rFonts w:ascii="Times New Roman" w:cs="Times New Roman" w:hAnsi="Times New Roman"/>
        </w:rPr>
        <w:t xml:space="preserve">, ради своенравной красавицы Оксаны, соглашается на рискованную сделку с чертом, а хитрая </w:t>
      </w:r>
      <w:r>
        <w:rPr>
          <w:rFonts w:ascii="Times New Roman" w:cs="Times New Roman" w:hAnsi="Times New Roman"/>
        </w:rPr>
        <w:t>Солоха</w:t>
      </w:r>
      <w:r>
        <w:rPr>
          <w:rFonts w:ascii="Times New Roman" w:cs="Times New Roman" w:hAnsi="Times New Roman"/>
        </w:rPr>
        <w:t>, сидя на месяце, собирает в рукав звезды с зимнего неба.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Создатели наполнили действие живой музыкой, хореографией и песенными зарисовками. Дивные русские и украинские мотивы, вплетенные в канву постановки, как нельзя лучше воссоздают атмосферу, описанную великим Гоголем.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На </w:t>
      </w:r>
      <w:r>
        <w:rPr>
          <w:rFonts w:ascii="Times New Roman" w:cs="Times New Roman" w:hAnsi="Times New Roman"/>
          <w:b/>
        </w:rPr>
        <w:t xml:space="preserve">спектакле </w:t>
      </w:r>
      <w:r>
        <w:rPr>
          <w:rFonts w:ascii="Times New Roman" w:cs="Times New Roman" w:hAnsi="Times New Roman"/>
          <w:b/>
        </w:rPr>
        <w:t>"</w:t>
      </w:r>
      <w:r>
        <w:t xml:space="preserve"> </w:t>
      </w:r>
      <w:r>
        <w:rPr>
          <w:rFonts w:ascii="Times New Roman" w:cs="Times New Roman" w:hAnsi="Times New Roman"/>
          <w:b/>
        </w:rPr>
        <w:t xml:space="preserve">Ночь перед Рождеством " скучать не придется никому! </w:t>
      </w:r>
      <w:r>
        <w:rPr>
          <w:rFonts w:ascii="Times New Roman" w:cs="Times New Roman" w:hAnsi="Times New Roman"/>
        </w:rPr>
        <w:t>Этот спектакль обещает стать настоящим откровением, оживляя детские мечты и пробуждая радость. Не упустите возможность стать частью этого волшебного путешествия в мир сказок, где мечты становятся реальностью!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hd w:val="clear" w:color="auto" w:fill="ffffff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hd w:val="clear" w:color="auto" w:fill="ffffff"/>
        </w:rPr>
      </w:pPr>
      <w:r>
        <w:rPr>
          <w:rFonts w:ascii="Times New Roman" w:cs="Times New Roman" w:hAnsi="Times New Roman"/>
          <w:b/>
          <w:color w:val="000000"/>
          <w:shd w:val="clear" w:color="auto" w:fill="ffffff"/>
        </w:rPr>
        <w:t>Отправление домой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Стоимость тура</w:t>
      </w:r>
      <w:r>
        <w:rPr>
          <w:rFonts w:ascii="Times New Roman" w:cs="Times New Roman" w:hAnsi="Times New Roman"/>
          <w:b/>
        </w:rPr>
        <w:t xml:space="preserve"> 26 декабря</w:t>
      </w:r>
      <w:r>
        <w:rPr>
          <w:rFonts w:ascii="Times New Roman" w:cs="Times New Roman" w:hAnsi="Times New Roman"/>
          <w:b/>
        </w:rPr>
        <w:t xml:space="preserve"> 2026г.</w:t>
      </w:r>
      <w:r>
        <w:rPr>
          <w:rFonts w:ascii="Times New Roman" w:cs="Times New Roman" w:hAnsi="Times New Roman"/>
          <w:b/>
        </w:rPr>
        <w:t xml:space="preserve">: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</w:t>
      </w:r>
      <w:r>
        <w:rPr>
          <w:rFonts w:ascii="Times New Roman" w:cs="Times New Roman" w:hAnsi="Times New Roman"/>
          <w:b/>
        </w:rPr>
        <w:t xml:space="preserve"> 65</w:t>
      </w:r>
      <w:r>
        <w:rPr>
          <w:rFonts w:ascii="Times New Roman" w:cs="Times New Roman" w:hAnsi="Times New Roman"/>
          <w:b/>
        </w:rPr>
        <w:t>0</w:t>
      </w:r>
      <w:r>
        <w:rPr>
          <w:rFonts w:ascii="Times New Roman" w:cs="Times New Roman" w:hAnsi="Times New Roman"/>
          <w:b/>
        </w:rPr>
        <w:t>руб/чел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(амфитеатр 10,11,12,14 ряд; ложа партер правая сторона 1 ряд,2 ряд,3 ряд, 4 ряд 1-6 место)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4 20</w:t>
      </w:r>
      <w:r>
        <w:rPr>
          <w:rFonts w:ascii="Times New Roman" w:cs="Times New Roman" w:hAnsi="Times New Roman"/>
          <w:b/>
        </w:rPr>
        <w:t>0руб/чел</w:t>
      </w:r>
      <w:r>
        <w:rPr>
          <w:rFonts w:ascii="Times New Roman" w:cs="Times New Roman" w:hAnsi="Times New Roman"/>
        </w:rPr>
        <w:t xml:space="preserve"> (ложа партера правая 1 ряд 7,8 место; амфитеатр 14 ряд 24,25 место)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Стоимость тура 06 января 2027 года: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</w:t>
      </w:r>
      <w:r>
        <w:rPr>
          <w:rFonts w:ascii="Times New Roman" w:cs="Times New Roman" w:hAnsi="Times New Roman"/>
          <w:b/>
        </w:rPr>
        <w:t xml:space="preserve"> 65</w:t>
      </w:r>
      <w:r>
        <w:rPr>
          <w:rFonts w:ascii="Times New Roman" w:cs="Times New Roman" w:hAnsi="Times New Roman"/>
          <w:b/>
        </w:rPr>
        <w:t>0</w:t>
      </w:r>
      <w:r>
        <w:rPr>
          <w:rFonts w:ascii="Times New Roman" w:cs="Times New Roman" w:hAnsi="Times New Roman"/>
          <w:b/>
        </w:rPr>
        <w:t>руб/чел</w:t>
      </w:r>
      <w:r>
        <w:rPr>
          <w:rFonts w:ascii="Times New Roman" w:cs="Times New Roman" w:hAnsi="Times New Roman"/>
        </w:rPr>
        <w:t xml:space="preserve"> (амфитеатр 10,11,12,</w:t>
      </w:r>
      <w:r>
        <w:rPr>
          <w:rFonts w:ascii="Times New Roman" w:cs="Times New Roman" w:hAnsi="Times New Roman"/>
        </w:rPr>
        <w:t xml:space="preserve">13, </w:t>
      </w:r>
      <w:r>
        <w:rPr>
          <w:rFonts w:ascii="Times New Roman" w:cs="Times New Roman" w:hAnsi="Times New Roman"/>
        </w:rPr>
        <w:t>14 ряд; ложа партер правая сторона 1 ряд</w:t>
      </w:r>
      <w:r>
        <w:rPr>
          <w:rFonts w:ascii="Times New Roman" w:cs="Times New Roman" w:hAnsi="Times New Roman"/>
        </w:rPr>
        <w:t xml:space="preserve"> 1-6 место, </w:t>
      </w:r>
      <w:r>
        <w:rPr>
          <w:rFonts w:ascii="Times New Roman" w:cs="Times New Roman" w:hAnsi="Times New Roman"/>
        </w:rPr>
        <w:t xml:space="preserve">,2 ряд, </w:t>
      </w:r>
      <w:r>
        <w:rPr>
          <w:rFonts w:ascii="Times New Roman" w:cs="Times New Roman" w:hAnsi="Times New Roman"/>
        </w:rPr>
        <w:t>6</w:t>
      </w: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</w:rPr>
        <w:t>7</w:t>
      </w:r>
      <w:r>
        <w:rPr>
          <w:rFonts w:ascii="Times New Roman" w:cs="Times New Roman" w:hAnsi="Times New Roman"/>
        </w:rPr>
        <w:t xml:space="preserve"> место</w:t>
      </w:r>
      <w:r>
        <w:rPr>
          <w:rFonts w:ascii="Times New Roman" w:cs="Times New Roman" w:hAnsi="Times New Roman"/>
        </w:rPr>
        <w:t xml:space="preserve">; левая сторона </w:t>
      </w:r>
      <w:r>
        <w:rPr>
          <w:rFonts w:ascii="Times New Roman" w:cs="Times New Roman" w:hAnsi="Times New Roman"/>
        </w:rPr>
        <w:t xml:space="preserve">1 ряд </w:t>
      </w:r>
      <w:r>
        <w:rPr>
          <w:rFonts w:ascii="Times New Roman" w:cs="Times New Roman" w:hAnsi="Times New Roman"/>
        </w:rPr>
        <w:t>1-6</w:t>
      </w:r>
      <w:r>
        <w:rPr>
          <w:rFonts w:ascii="Times New Roman" w:cs="Times New Roman" w:hAnsi="Times New Roman"/>
        </w:rPr>
        <w:t>место, 2 ряд 6-7 место)</w:t>
      </w:r>
      <w:r>
        <w:rPr>
          <w:rFonts w:ascii="Times New Roman" w:cs="Times New Roman" w:hAnsi="Times New Roman"/>
        </w:rPr>
        <w:t>)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bookmarkStart w:id="0" w:name="_GoBack"/>
    <w:bookmarkEnd w:id="0"/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В стоимость тура входит</w:t>
      </w:r>
      <w:r>
        <w:rPr>
          <w:rFonts w:ascii="Times New Roman" w:cs="Times New Roman" w:hAnsi="Times New Roman"/>
        </w:rPr>
        <w:t xml:space="preserve">: транспортное обеспечение, </w:t>
      </w:r>
      <w:r>
        <w:rPr>
          <w:rFonts w:ascii="Times New Roman" w:cs="Times New Roman" w:hAnsi="Times New Roman"/>
        </w:rPr>
        <w:t xml:space="preserve">сопровождение </w:t>
      </w:r>
      <w:r>
        <w:rPr>
          <w:rFonts w:ascii="Times New Roman" w:cs="Times New Roman" w:hAnsi="Times New Roman"/>
        </w:rPr>
        <w:t>представителем компании</w:t>
      </w:r>
      <w:r>
        <w:rPr>
          <w:rFonts w:ascii="Times New Roman" w:cs="Times New Roman" w:hAnsi="Times New Roman"/>
        </w:rPr>
        <w:t xml:space="preserve">, транспортная-пассажирская страховка, </w:t>
      </w:r>
      <w:r>
        <w:rPr>
          <w:rFonts w:ascii="Times New Roman" w:cs="Times New Roman" w:hAnsi="Times New Roman"/>
        </w:rPr>
        <w:t xml:space="preserve">входные </w:t>
      </w:r>
      <w:r>
        <w:rPr>
          <w:rFonts w:ascii="Times New Roman" w:cs="Times New Roman" w:hAnsi="Times New Roman"/>
        </w:rPr>
        <w:t>в театр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*Фирма оставляет за собой право на замену транспорта при наборе группы менее 18 человек на микроавтобус туркласса. Посадочные места будут изменены.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**Фирма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>
      <w:pgSz w:w="11906" w:h="16838" w:orient="portrait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366</Words>
  <Pages>1</Pages>
  <Characters>2327</Characters>
  <Application>WPS Office</Application>
  <DocSecurity>0</DocSecurity>
  <Paragraphs>38</Paragraphs>
  <ScaleCrop>false</ScaleCrop>
  <LinksUpToDate>false</LinksUpToDate>
  <CharactersWithSpaces>2677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2026-05-27T09:42:02Z</dcterms:created>
  <dc:creator>пися Золотая</dc:creator>
  <lastModifiedBy>BKY-W09</lastModifiedBy>
  <lastPrinted>2025-09-30T08:44:00Z</lastPrinted>
  <dcterms:modified xsi:type="dcterms:W3CDTF">2026-05-27T09:42:02Z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8cd64ce52aca48889b52c959ad3488b2</vt:lpwstr>
  </property>
</Properties>
</file>